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highlight w:val="none"/>
          <w:lang w:val="en-US" w:eastAsia="zh-CN"/>
        </w:rPr>
      </w:pPr>
      <w:r>
        <w:rPr>
          <w:rFonts w:hint="eastAsia" w:ascii="宋体" w:hAnsi="宋体" w:eastAsia="宋体" w:cs="宋体"/>
          <w:b/>
          <w:sz w:val="44"/>
          <w:szCs w:val="44"/>
          <w:highlight w:val="none"/>
          <w:lang w:val="en-US" w:eastAsia="zh-CN"/>
        </w:rPr>
        <w:t>《兴业银行深圳分行2026年-2027年各网点员工配餐服务采购项目》供应商征集</w:t>
      </w:r>
      <w:r>
        <w:rPr>
          <w:rFonts w:hint="eastAsia" w:ascii="宋体" w:hAnsi="宋体" w:cs="宋体"/>
          <w:b/>
          <w:sz w:val="44"/>
          <w:szCs w:val="44"/>
          <w:highlight w:val="none"/>
          <w:lang w:val="en-US" w:eastAsia="zh-CN"/>
        </w:rPr>
        <w:t>调研</w:t>
      </w:r>
      <w:r>
        <w:rPr>
          <w:rFonts w:hint="eastAsia" w:ascii="宋体" w:hAnsi="宋体" w:eastAsia="宋体" w:cs="宋体"/>
          <w:b/>
          <w:sz w:val="44"/>
          <w:szCs w:val="44"/>
          <w:highlight w:val="none"/>
          <w:lang w:val="en-US" w:eastAsia="zh-CN"/>
        </w:rPr>
        <w:t>反馈材料-公司名称（全称）</w:t>
      </w:r>
    </w:p>
    <w:p>
      <w:pPr>
        <w:ind w:left="0" w:leftChars="0" w:firstLine="0" w:firstLineChars="0"/>
        <w:jc w:val="center"/>
        <w:rPr>
          <w:rFonts w:hint="eastAsia" w:ascii="仿宋" w:hAnsi="仿宋" w:eastAsia="仿宋"/>
          <w:b/>
          <w:bCs/>
          <w:sz w:val="36"/>
          <w:szCs w:val="36"/>
          <w:highlight w:val="none"/>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highlight w:val="none"/>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5"/>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highlight w:val="none"/>
          <w:lang w:val="en-US" w:eastAsia="zh-CN" w:bidi="ar-SA"/>
        </w:rPr>
      </w:pPr>
      <w:r>
        <w:rPr>
          <w:rFonts w:hint="eastAsia" w:ascii="仿宋" w:hAnsi="仿宋" w:eastAsia="仿宋" w:cs="Times New Roman"/>
          <w:b/>
          <w:bCs/>
          <w:kern w:val="2"/>
          <w:sz w:val="28"/>
          <w:szCs w:val="28"/>
          <w:highlight w:val="none"/>
          <w:lang w:val="en-US" w:eastAsia="zh-CN" w:bidi="ar-SA"/>
        </w:rPr>
        <w:t>第一部分 对应页码P1-P20</w:t>
      </w:r>
    </w:p>
    <w:p>
      <w:pPr>
        <w:pStyle w:val="5"/>
        <w:tabs>
          <w:tab w:val="left" w:pos="992"/>
        </w:tabs>
        <w:ind w:left="0" w:leftChars="0" w:firstLine="0" w:firstLineChars="0"/>
        <w:jc w:val="center"/>
        <w:outlineLvl w:val="0"/>
        <w:rPr>
          <w:rFonts w:hint="eastAsia" w:ascii="仿宋" w:hAnsi="仿宋" w:eastAsia="仿宋" w:cs="Times New Roman"/>
          <w:b/>
          <w:bCs/>
          <w:kern w:val="2"/>
          <w:sz w:val="28"/>
          <w:szCs w:val="28"/>
          <w:highlight w:val="none"/>
          <w:lang w:val="en-US" w:eastAsia="zh-CN" w:bidi="ar-SA"/>
        </w:rPr>
      </w:pPr>
      <w:r>
        <w:rPr>
          <w:rFonts w:hint="eastAsia" w:ascii="仿宋" w:hAnsi="仿宋" w:eastAsia="仿宋" w:cs="Times New Roman"/>
          <w:b/>
          <w:bCs/>
          <w:kern w:val="2"/>
          <w:sz w:val="28"/>
          <w:szCs w:val="28"/>
          <w:highlight w:val="none"/>
          <w:lang w:val="en-US" w:eastAsia="zh-CN" w:bidi="ar-SA"/>
        </w:rPr>
        <w:t>第二部分 对应页码P21-P30</w:t>
      </w:r>
    </w:p>
    <w:p>
      <w:pPr>
        <w:pStyle w:val="5"/>
        <w:tabs>
          <w:tab w:val="left" w:pos="992"/>
        </w:tabs>
        <w:ind w:left="0" w:leftChars="0" w:firstLine="0" w:firstLineChars="0"/>
        <w:jc w:val="center"/>
        <w:outlineLvl w:val="0"/>
        <w:rPr>
          <w:rFonts w:hint="default" w:ascii="仿宋" w:hAnsi="仿宋" w:eastAsia="仿宋" w:cs="Times New Roman"/>
          <w:b/>
          <w:bCs/>
          <w:kern w:val="2"/>
          <w:sz w:val="28"/>
          <w:szCs w:val="28"/>
          <w:highlight w:val="none"/>
          <w:lang w:val="en-US" w:eastAsia="zh-CN" w:bidi="ar-SA"/>
        </w:rPr>
      </w:pPr>
      <w:r>
        <w:rPr>
          <w:rFonts w:hint="eastAsia" w:ascii="仿宋" w:hAnsi="仿宋" w:eastAsia="仿宋" w:cs="Times New Roman"/>
          <w:b/>
          <w:bCs/>
          <w:kern w:val="2"/>
          <w:sz w:val="28"/>
          <w:szCs w:val="28"/>
          <w:highlight w:val="none"/>
          <w:lang w:val="en-US" w:eastAsia="zh-CN" w:bidi="ar-SA"/>
        </w:rPr>
        <w:t>第三部分 对应页码P31-P40</w:t>
      </w:r>
    </w:p>
    <w:p>
      <w:pPr>
        <w:pStyle w:val="5"/>
        <w:tabs>
          <w:tab w:val="left" w:pos="992"/>
        </w:tabs>
        <w:ind w:firstLine="0" w:firstLineChars="0"/>
        <w:jc w:val="center"/>
        <w:outlineLvl w:val="0"/>
        <w:rPr>
          <w:rFonts w:hint="eastAsia"/>
          <w:highlight w:val="none"/>
          <w:lang w:val="en-US" w:eastAsia="zh-CN"/>
        </w:rPr>
      </w:pPr>
      <w:r>
        <w:rPr>
          <w:rFonts w:hint="eastAsia" w:ascii="仿宋" w:hAnsi="仿宋" w:eastAsia="仿宋" w:cs="Times New Roman"/>
          <w:b/>
          <w:bCs/>
          <w:kern w:val="2"/>
          <w:sz w:val="28"/>
          <w:szCs w:val="28"/>
          <w:highlight w:val="none"/>
          <w:lang w:val="en-US" w:eastAsia="zh-CN" w:bidi="ar-SA"/>
        </w:rPr>
        <w:t>第四部分 对应页码P41-P50</w:t>
      </w:r>
    </w:p>
    <w:p>
      <w:pPr>
        <w:pStyle w:val="12"/>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一</w:t>
      </w:r>
      <w:r>
        <w:rPr>
          <w:rFonts w:hint="eastAsia" w:ascii="黑体" w:hAnsi="黑体" w:eastAsia="黑体" w:cs="黑体"/>
          <w:b w:val="0"/>
          <w:bCs/>
          <w:sz w:val="32"/>
          <w:szCs w:val="32"/>
          <w:highlight w:val="none"/>
          <w:lang w:eastAsia="zh-CN"/>
        </w:rPr>
        <w:t>、</w:t>
      </w:r>
      <w:r>
        <w:rPr>
          <w:rFonts w:hint="eastAsia" w:ascii="黑体" w:hAnsi="黑体" w:eastAsia="黑体" w:cs="黑体"/>
          <w:b w:val="0"/>
          <w:bCs/>
          <w:sz w:val="32"/>
          <w:szCs w:val="32"/>
          <w:highlight w:val="none"/>
        </w:rPr>
        <w:t>项目要求应答部分</w:t>
      </w:r>
    </w:p>
    <w:p>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highlight w:val="none"/>
          <w14:textFill>
            <w14:solidFill>
              <w14:schemeClr w14:val="tx1"/>
            </w14:solidFill>
          </w14:textFill>
        </w:rPr>
      </w:pPr>
      <w:r>
        <w:rPr>
          <w:rFonts w:hint="eastAsia" w:ascii="仿宋" w:hAnsi="仿宋" w:eastAsia="仿宋" w:cs="仿宋"/>
          <w:b w:val="0"/>
          <w:bCs w:val="0"/>
          <w:color w:val="000000" w:themeColor="text1"/>
          <w:sz w:val="32"/>
          <w:szCs w:val="32"/>
          <w:highlight w:val="none"/>
          <w14:textFill>
            <w14:solidFill>
              <w14:schemeClr w14:val="tx1"/>
            </w14:solidFill>
          </w14:textFill>
        </w:rPr>
        <w:t>（“是否满足”和“基本情况说明”列由供应商填写。）</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9"/>
        <w:gridCol w:w="1757"/>
        <w:gridCol w:w="4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审核事项</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是否满足（是/否）</w:t>
            </w: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7"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为满足网点员工工作用餐的便利性和丰富性，保障员工用餐健康安全，拟通过招投标确定一家餐饮平台统一提供网点员工配餐服务。分行统一根据实际用餐数据实结算。</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w:t>
            </w:r>
            <w:r>
              <w:rPr>
                <w:rFonts w:hint="eastAsia" w:ascii="仿宋" w:hAnsi="仿宋" w:eastAsia="仿宋" w:cs="仿宋"/>
                <w:b w:val="0"/>
                <w:bCs w:val="0"/>
                <w:sz w:val="28"/>
                <w:szCs w:val="28"/>
                <w:highlight w:val="none"/>
                <w:lang w:val="en-US" w:eastAsia="zh-CN"/>
              </w:rPr>
              <w:t>.2</w:t>
            </w:r>
            <w:r>
              <w:rPr>
                <w:rFonts w:hint="eastAsia" w:ascii="仿宋" w:hAnsi="仿宋" w:eastAsia="仿宋" w:cs="仿宋"/>
                <w:b w:val="0"/>
                <w:bCs w:val="0"/>
                <w:sz w:val="28"/>
                <w:szCs w:val="28"/>
                <w:highlight w:val="none"/>
              </w:rPr>
              <w:t>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1.2.1 餐饮平台支持线上外卖和线下堂食服务，满足员工多元化的用餐场景。</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1.2.2 餐饮平台上的餐饮商户类型包括但不限于小吃快餐、商务用餐、面包饮品、水果等。</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1.2.3  餐饮平台的配送范围能覆盖兴业银行深圳分行所有办公场所。</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1.2.4  餐饮平台能提供优惠的食品价格和安全舒适的用餐环境。</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1.2.5  餐饮平台对餐饮商户提供餐饮服务质量进行监督和管理，并承担责任。</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1.2.6  针对我行的具体情况和服务需求，餐饮平台能为我行提供量身定制的服务方案。</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1.2.7  供应商提供用餐数据，并开具餐饮发票，分行统一据实结算。</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1.3  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1.3.1  须提供食品经营许可证。</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1.3.2  须有固定开展餐饮服务的业务支持团队。</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1.3.3  企业成立3年以上，经营正常，可稳定提供服务。</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1.3.4  本项目不接受联合体投标，不得转包、分包。</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1.4 供应商案例要求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具备2023年1月1日至今与21家国内系统重要性银行（工行、中行、建行、农行、交行、邮储、招商、兴业、中信、浦发、光大、民生、平安、华夏、广发、宁波、江苏、上海、北京、南京、浙商）分行级/或其子公司及金融机构合作开展与本项目相似的成功案例（须提供相关案例合同证明材料，以合同签订日期为准）备注：①供应商若只提供一个符合要求的案例，则默认为该供应商仅有一个案例符合要求；②若供应商有多个案例符合要求，请供应商提供多个符合要求的案例。</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2.1依法成立，为存续、在营、开业、在册、登记成立等正常企业状态</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2.2在兴业银行开立对公账户，若中标本项目，则通过兴业银行对公账户结算该项目相关费用</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2.3充分理解我行服务需求并能够根据需求提供相应的服务</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2.4具有良好的商业信誉且经营正常</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2.5依法缴纳税收和社会保障资金</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2.6未被“信用中国”网列入“重大税收违法案件当事人名单”、未被“中国执行信息公开网”列入“失信被执行人名单”、未被“中国政府采购网”列入“政府采购严重违法失信行为信息记录名单”、未被“国家企业信用信息公示系统”列入网站“严重违法失信企业名单”，不在兴业银行供应商禁用/退出期内</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2.7经营范围经国家行政管理部门依法批准，同时获得从事行业有效执业证明、行政许可、专业资质等证照</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2.8两年内目标服务领域未出现严重安全事件</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highlight w:val="none"/>
        </w:rPr>
      </w:pPr>
      <w:r>
        <w:rPr>
          <w:rFonts w:hint="eastAsia" w:ascii="仿宋" w:hAnsi="仿宋" w:eastAsia="仿宋" w:cs="仿宋"/>
          <w:sz w:val="32"/>
          <w:szCs w:val="32"/>
          <w:highlight w:val="none"/>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二、</w:t>
      </w:r>
      <w:r>
        <w:rPr>
          <w:rFonts w:hint="eastAsia" w:ascii="黑体" w:hAnsi="黑体" w:eastAsia="黑体" w:cs="黑体"/>
          <w:b w:val="0"/>
          <w:bCs/>
          <w:sz w:val="32"/>
          <w:szCs w:val="32"/>
          <w:highlight w:val="none"/>
        </w:rPr>
        <w:t>供应商基础信息部分</w:t>
      </w:r>
    </w:p>
    <w:tbl>
      <w:tblPr>
        <w:tblStyle w:val="9"/>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是否可以在兴业银行开立对公账户，并承诺若中标本项目，则通过兴业银行对公账户结算该项目相关费用。</w:t>
            </w:r>
            <w:r>
              <w:rPr>
                <w:rFonts w:hint="eastAsia" w:ascii="仿宋" w:hAnsi="仿宋" w:eastAsia="仿宋" w:cs="仿宋"/>
                <w:b/>
                <w:color w:val="FF0000"/>
                <w:sz w:val="28"/>
                <w:szCs w:val="28"/>
                <w:highlight w:val="none"/>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是否已在兴业银行开立对公账户：</w:t>
            </w:r>
            <w:r>
              <w:rPr>
                <w:rFonts w:hint="eastAsia" w:ascii="仿宋" w:hAnsi="仿宋" w:eastAsia="仿宋" w:cs="仿宋"/>
                <w:b/>
                <w:sz w:val="28"/>
                <w:szCs w:val="28"/>
                <w:highlight w:val="none"/>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若未开户，是否可以承诺若中标则在兴业银行开立对公账户并通过该账户结算该项目相关费用：</w:t>
            </w:r>
            <w:r>
              <w:rPr>
                <w:rFonts w:hint="eastAsia" w:ascii="仿宋" w:hAnsi="仿宋" w:eastAsia="仿宋" w:cs="仿宋"/>
                <w:b/>
                <w:sz w:val="28"/>
                <w:szCs w:val="28"/>
                <w:highlight w:val="none"/>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i w:val="0"/>
                <w:iCs w:val="0"/>
                <w:sz w:val="28"/>
                <w:szCs w:val="28"/>
                <w:highlight w:val="none"/>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highlight w:val="none"/>
                <w:lang w:val="en-US"/>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财务指标</w:t>
            </w:r>
          </w:p>
        </w:tc>
        <w:tc>
          <w:tcPr>
            <w:tcW w:w="4563" w:type="dxa"/>
          </w:tcPr>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一、资产总额：</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highlight w:val="none"/>
                <w:lang w:val="en-US" w:eastAsia="zh-CN"/>
                <w14:textFill>
                  <w14:solidFill>
                    <w14:schemeClr w14:val="tx1"/>
                  </w14:solidFill>
                </w14:textFill>
              </w:rPr>
              <w:t>近三年营收</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highlight w:val="none"/>
                <w:lang w:val="en-US" w:eastAsia="zh-CN"/>
                <w14:textFill>
                  <w14:solidFill>
                    <w14:schemeClr w14:val="tx1"/>
                  </w14:solidFill>
                </w14:textFill>
              </w:rPr>
              <w:t>近三年利润</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auto"/>
                <w:kern w:val="2"/>
                <w:sz w:val="28"/>
                <w:szCs w:val="28"/>
                <w:highlight w:val="none"/>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highlight w:val="none"/>
                <w:lang w:val="en-GB"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val="en-GB" w:eastAsia="zh-CN"/>
              </w:rPr>
              <w:t>目标服务领域</w:t>
            </w:r>
            <w:r>
              <w:rPr>
                <w:rFonts w:hint="eastAsia" w:ascii="仿宋" w:hAnsi="仿宋" w:eastAsia="仿宋" w:cs="仿宋"/>
                <w:sz w:val="28"/>
                <w:szCs w:val="28"/>
                <w:highlight w:val="none"/>
                <w:lang w:val="en-US" w:eastAsia="zh-CN"/>
              </w:rPr>
              <w:t>是否</w:t>
            </w:r>
            <w:r>
              <w:rPr>
                <w:rFonts w:hint="eastAsia" w:ascii="仿宋" w:hAnsi="仿宋" w:eastAsia="仿宋" w:cs="仿宋"/>
                <w:sz w:val="28"/>
                <w:szCs w:val="28"/>
                <w:highlight w:val="none"/>
                <w:lang w:val="en-GB" w:eastAsia="zh-CN"/>
              </w:rPr>
              <w:t>出现严重安全事件。</w:t>
            </w:r>
          </w:p>
          <w:p>
            <w:pPr>
              <w:pStyle w:val="12"/>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sz w:val="28"/>
                <w:szCs w:val="28"/>
                <w:highlight w:val="none"/>
                <w:lang w:val="en-US" w:eastAsia="zh-CN"/>
              </w:rPr>
              <w:t>2.提供</w:t>
            </w:r>
            <w:r>
              <w:rPr>
                <w:rFonts w:hint="eastAsia" w:ascii="仿宋" w:hAnsi="仿宋" w:eastAsia="仿宋" w:cs="仿宋"/>
                <w:sz w:val="28"/>
                <w:szCs w:val="28"/>
                <w:highlight w:val="none"/>
                <w:lang w:val="en-GB" w:eastAsia="zh-CN"/>
              </w:rPr>
              <w:t>“信用中国</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lang w:val="en-GB" w:eastAsia="zh-CN"/>
              </w:rPr>
              <w:t>重大税收违法案件当事人名单”、“中国执行信息公开网</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lang w:val="en-GB" w:eastAsia="zh-CN"/>
              </w:rPr>
              <w:t>失信被执行人名单”、“中国政府采购网</w:t>
            </w:r>
            <w:r>
              <w:rPr>
                <w:rFonts w:hint="eastAsia" w:ascii="仿宋" w:hAnsi="仿宋" w:eastAsia="仿宋" w:cs="仿宋"/>
                <w:sz w:val="28"/>
                <w:szCs w:val="28"/>
                <w:highlight w:val="none"/>
                <w:lang w:val="en-US" w:eastAsia="zh-CN"/>
              </w:rPr>
              <w:t>-政府采购严重违法失信行为信息记录名单</w:t>
            </w:r>
            <w:r>
              <w:rPr>
                <w:rFonts w:hint="eastAsia" w:ascii="仿宋" w:hAnsi="仿宋" w:eastAsia="仿宋" w:cs="仿宋"/>
                <w:sz w:val="28"/>
                <w:szCs w:val="28"/>
                <w:highlight w:val="none"/>
                <w:lang w:val="en-GB" w:eastAsia="zh-CN"/>
              </w:rPr>
              <w:t>”、“国家企业信用信息公示系统</w:t>
            </w:r>
            <w:r>
              <w:rPr>
                <w:rFonts w:hint="eastAsia" w:ascii="仿宋" w:hAnsi="仿宋" w:eastAsia="仿宋" w:cs="仿宋"/>
                <w:sz w:val="28"/>
                <w:szCs w:val="28"/>
                <w:highlight w:val="none"/>
                <w:lang w:val="en-US" w:eastAsia="zh-CN"/>
              </w:rPr>
              <w:t>-严重违法失信企业名单</w:t>
            </w:r>
            <w:r>
              <w:rPr>
                <w:rFonts w:hint="eastAsia" w:ascii="仿宋" w:hAnsi="仿宋" w:eastAsia="仿宋" w:cs="仿宋"/>
                <w:sz w:val="28"/>
                <w:szCs w:val="28"/>
                <w:highlight w:val="none"/>
                <w:lang w:val="en-GB" w:eastAsia="zh-CN"/>
              </w:rPr>
              <w:t>”平台</w:t>
            </w:r>
            <w:r>
              <w:rPr>
                <w:rFonts w:hint="eastAsia" w:ascii="仿宋" w:hAnsi="仿宋" w:eastAsia="仿宋" w:cs="仿宋"/>
                <w:sz w:val="28"/>
                <w:szCs w:val="28"/>
                <w:highlight w:val="none"/>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1.</w:t>
      </w:r>
      <w:r>
        <w:rPr>
          <w:rFonts w:hint="eastAsia" w:ascii="仿宋" w:hAnsi="仿宋" w:eastAsia="仿宋" w:cs="仿宋"/>
          <w:color w:val="000000" w:themeColor="text1"/>
          <w:sz w:val="32"/>
          <w:szCs w:val="32"/>
          <w:highlight w:val="none"/>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w:t>
      </w:r>
      <w:r>
        <w:rPr>
          <w:rFonts w:hint="eastAsia" w:ascii="仿宋" w:hAnsi="仿宋" w:eastAsia="仿宋" w:cs="仿宋"/>
          <w:color w:val="000000" w:themeColor="text1"/>
          <w:sz w:val="32"/>
          <w:szCs w:val="32"/>
          <w:highlight w:val="none"/>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3.</w:t>
      </w:r>
      <w:r>
        <w:rPr>
          <w:rFonts w:hint="eastAsia" w:ascii="仿宋" w:hAnsi="仿宋" w:eastAsia="仿宋" w:cs="仿宋"/>
          <w:color w:val="000000" w:themeColor="text1"/>
          <w:sz w:val="32"/>
          <w:szCs w:val="32"/>
          <w:highlight w:val="none"/>
          <w14:textFill>
            <w14:solidFill>
              <w14:schemeClr w14:val="tx1"/>
            </w14:solidFill>
          </w14:textFill>
        </w:rPr>
        <w:t>公司法人身份证的原件扫描件</w:t>
      </w:r>
    </w:p>
    <w:p>
      <w:pPr>
        <w:pStyle w:val="4"/>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highlight w:val="none"/>
          <w:lang w:val="en-US" w:eastAsia="zh-CN"/>
          <w14:textFill>
            <w14:solidFill>
              <w14:schemeClr w14:val="tx1"/>
            </w14:solidFill>
          </w14:textFill>
        </w:rPr>
        <w:t>4.提供国家企业信用信息公示系统查询，为存续、在营、开业、在册、登记成立等正常企业状态的截图。</w:t>
      </w:r>
    </w:p>
    <w:p>
      <w:pPr>
        <w:pStyle w:val="4"/>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4"/>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topLinePunct w:val="0"/>
        <w:spacing w:line="579" w:lineRule="exact"/>
        <w:ind w:firstLine="640" w:firstLineChars="200"/>
        <w:outlineLvl w:val="1"/>
        <w:rPr>
          <w:rFonts w:hint="eastAsia" w:ascii="黑体" w:hAnsi="黑体" w:eastAsia="黑体" w:cs="黑体"/>
          <w:bCs/>
          <w:sz w:val="32"/>
          <w:szCs w:val="32"/>
        </w:rPr>
      </w:pPr>
      <w:r>
        <w:rPr>
          <w:rFonts w:hint="eastAsia" w:ascii="黑体" w:hAnsi="黑体" w:eastAsia="黑体" w:cs="黑体"/>
          <w:bCs/>
          <w:sz w:val="32"/>
          <w:szCs w:val="32"/>
        </w:rPr>
        <w:t>三、与本项目相关的案例情况</w:t>
      </w:r>
    </w:p>
    <w:p>
      <w:pPr>
        <w:widowControl/>
        <w:shd w:val="clear" w:color="auto" w:fill="FFFFFF"/>
        <w:spacing w:line="579" w:lineRule="atLeast"/>
        <w:ind w:firstLine="640"/>
        <w:jc w:val="left"/>
        <w:rPr>
          <w:rFonts w:ascii="仿宋" w:hAnsi="仿宋" w:eastAsia="仿宋" w:cs="宋体"/>
          <w:color w:val="000000"/>
          <w:kern w:val="0"/>
          <w:sz w:val="32"/>
          <w:szCs w:val="32"/>
        </w:rPr>
      </w:pPr>
      <w:r>
        <w:rPr>
          <w:rFonts w:hint="eastAsia" w:ascii="仿宋" w:hAnsi="仿宋" w:eastAsia="仿宋" w:cs="仿宋"/>
          <w:i w:val="0"/>
          <w:iCs w:val="0"/>
          <w:caps w:val="0"/>
          <w:color w:val="000000"/>
          <w:spacing w:val="0"/>
          <w:sz w:val="32"/>
          <w:szCs w:val="32"/>
        </w:rPr>
        <w:t> 具备2023年1月1日至今与21家国内系统重要性银行（工行、中行、建行、农行、交行、邮储、招商、兴业、中信、浦发、光大、民生、平安、华夏、广发、宁波、江苏、上海、北京、南京、浙商）分行级/或其子公司</w:t>
      </w:r>
      <w:r>
        <w:rPr>
          <w:rFonts w:hint="eastAsia" w:ascii="仿宋" w:hAnsi="仿宋" w:eastAsia="仿宋" w:cs="仿宋"/>
          <w:i w:val="0"/>
          <w:iCs w:val="0"/>
          <w:caps w:val="0"/>
          <w:color w:val="000000"/>
          <w:spacing w:val="0"/>
          <w:sz w:val="32"/>
          <w:szCs w:val="32"/>
          <w:lang w:eastAsia="zh-CN"/>
        </w:rPr>
        <w:t>及金融机构</w:t>
      </w:r>
      <w:r>
        <w:rPr>
          <w:rFonts w:hint="eastAsia" w:ascii="仿宋" w:hAnsi="仿宋" w:eastAsia="仿宋" w:cs="仿宋"/>
          <w:i w:val="0"/>
          <w:iCs w:val="0"/>
          <w:caps w:val="0"/>
          <w:color w:val="000000"/>
          <w:spacing w:val="0"/>
          <w:sz w:val="32"/>
          <w:szCs w:val="32"/>
        </w:rPr>
        <w:t>合作开展与本项目相似的成功案例（须提供相关案例合同证明材料，以合同签订日期为准）备注：①供应商若只提供一个符合要求的案例，则默认为该供应商仅有一个案例符合要求；②若供应商有多个案例符合要求，请供应商提供多个符合要求的案例。</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1465"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1</w:t>
            </w:r>
          </w:p>
        </w:tc>
        <w:tc>
          <w:tcPr>
            <w:tcW w:w="1465" w:type="pct"/>
          </w:tcPr>
          <w:p>
            <w:pPr>
              <w:spacing w:line="460" w:lineRule="exact"/>
              <w:rPr>
                <w:rFonts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2</w:t>
            </w: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bl>
    <w:p>
      <w:pPr>
        <w:spacing w:line="579"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在此根据上述合所列合同清单依次附录合同证明材料。需包含合同首尾页，内容页及服务内容证明页的扫描件。</w:t>
      </w:r>
    </w:p>
    <w:p>
      <w:pPr>
        <w:topLinePunct w:val="0"/>
        <w:spacing w:line="579" w:lineRule="exact"/>
        <w:ind w:firstLine="640" w:firstLineChars="200"/>
        <w:outlineLvl w:val="1"/>
      </w:pPr>
      <w:r>
        <w:rPr>
          <w:rFonts w:hint="eastAsia" w:ascii="黑体" w:hAnsi="黑体" w:eastAsia="黑体" w:cs="黑体"/>
          <w:bCs/>
          <w:sz w:val="32"/>
          <w:szCs w:val="32"/>
        </w:rPr>
        <w:t>四、详细介绍</w:t>
      </w:r>
      <w:bookmarkStart w:id="0" w:name="_GoBack"/>
      <w:bookmarkEnd w:id="0"/>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lang w:eastAsia="zh-CN"/>
        </w:rPr>
        <w:t>（</w:t>
      </w:r>
      <w:r>
        <w:rPr>
          <w:rFonts w:hint="eastAsia" w:ascii="楷体" w:hAnsi="楷体" w:eastAsia="楷体" w:cs="楷体"/>
          <w:b w:val="0"/>
          <w:bCs w:val="0"/>
          <w:sz w:val="32"/>
          <w:szCs w:val="32"/>
          <w:highlight w:val="none"/>
          <w:lang w:val="en-US" w:eastAsia="zh-CN"/>
        </w:rPr>
        <w:t>一</w:t>
      </w:r>
      <w:r>
        <w:rPr>
          <w:rFonts w:hint="eastAsia" w:ascii="楷体" w:hAnsi="楷体" w:eastAsia="楷体" w:cs="楷体"/>
          <w:b w:val="0"/>
          <w:bCs w:val="0"/>
          <w:sz w:val="32"/>
          <w:szCs w:val="32"/>
          <w:highlight w:val="none"/>
          <w:lang w:eastAsia="zh-CN"/>
        </w:rPr>
        <w:t>）</w:t>
      </w:r>
      <w:r>
        <w:rPr>
          <w:rFonts w:hint="eastAsia" w:ascii="楷体" w:hAnsi="楷体" w:eastAsia="楷体" w:cs="楷体"/>
          <w:b w:val="0"/>
          <w:bCs w:val="0"/>
          <w:sz w:val="32"/>
          <w:szCs w:val="32"/>
          <w:highlight w:val="none"/>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highlight w:val="none"/>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highlight w:val="none"/>
          <w:lang w:eastAsia="zh-CN"/>
        </w:rPr>
      </w:pPr>
      <w:r>
        <w:rPr>
          <w:rFonts w:hint="eastAsia" w:ascii="楷体" w:hAnsi="楷体" w:eastAsia="楷体" w:cs="楷体"/>
          <w:b w:val="0"/>
          <w:bCs w:val="0"/>
          <w:sz w:val="32"/>
          <w:szCs w:val="32"/>
          <w:highlight w:val="none"/>
          <w:lang w:eastAsia="zh-CN"/>
        </w:rPr>
        <w:t>（二）公司资质、认证等材料（</w:t>
      </w:r>
      <w:r>
        <w:rPr>
          <w:rFonts w:hint="eastAsia" w:ascii="楷体" w:hAnsi="楷体" w:eastAsia="楷体" w:cs="楷体"/>
          <w:b w:val="0"/>
          <w:bCs w:val="0"/>
          <w:sz w:val="32"/>
          <w:szCs w:val="32"/>
          <w:highlight w:val="none"/>
          <w:lang w:val="en-US" w:eastAsia="zh-CN"/>
        </w:rPr>
        <w:t>扫描件</w:t>
      </w:r>
      <w:r>
        <w:rPr>
          <w:rFonts w:hint="eastAsia" w:ascii="楷体" w:hAnsi="楷体" w:eastAsia="楷体" w:cs="楷体"/>
          <w:b w:val="0"/>
          <w:bCs w:val="0"/>
          <w:sz w:val="32"/>
          <w:szCs w:val="32"/>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highlight w:val="none"/>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（三）与兴业银行历史合作情况</w:t>
      </w:r>
    </w:p>
    <w:tbl>
      <w:tblPr>
        <w:tblStyle w:val="8"/>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highlight w:val="none"/>
                <w:u w:val="none"/>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highlight w:val="none"/>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r>
    </w:tbl>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Noto Sans SC">
    <w:panose1 w:val="020B02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3FF2DC1"/>
    <w:rsid w:val="049715A7"/>
    <w:rsid w:val="04B26EF8"/>
    <w:rsid w:val="0DED7F9F"/>
    <w:rsid w:val="0FCE788B"/>
    <w:rsid w:val="10111B39"/>
    <w:rsid w:val="13DD0D7A"/>
    <w:rsid w:val="183F51CF"/>
    <w:rsid w:val="18735F82"/>
    <w:rsid w:val="189139F8"/>
    <w:rsid w:val="24C843FA"/>
    <w:rsid w:val="27542F00"/>
    <w:rsid w:val="29D52E74"/>
    <w:rsid w:val="2E1F1A7A"/>
    <w:rsid w:val="2F824369"/>
    <w:rsid w:val="3506172F"/>
    <w:rsid w:val="365B1D40"/>
    <w:rsid w:val="36F83C41"/>
    <w:rsid w:val="4072194E"/>
    <w:rsid w:val="49CD0E1B"/>
    <w:rsid w:val="4C0220A2"/>
    <w:rsid w:val="503B1E49"/>
    <w:rsid w:val="54D84438"/>
    <w:rsid w:val="56A372A1"/>
    <w:rsid w:val="56D25756"/>
    <w:rsid w:val="57F9279C"/>
    <w:rsid w:val="591F0320"/>
    <w:rsid w:val="5966279D"/>
    <w:rsid w:val="5D760178"/>
    <w:rsid w:val="5F602E0F"/>
    <w:rsid w:val="6C8F22A2"/>
    <w:rsid w:val="6C9A6851"/>
    <w:rsid w:val="6E7B5824"/>
    <w:rsid w:val="73AE73C6"/>
    <w:rsid w:val="79330017"/>
    <w:rsid w:val="799643CC"/>
    <w:rsid w:val="7AE42C97"/>
    <w:rsid w:val="7B2302A3"/>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next w:val="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4">
    <w:name w:val="Body Text First Indent 2"/>
    <w:basedOn w:val="3"/>
    <w:next w:val="5"/>
    <w:qFormat/>
    <w:uiPriority w:val="0"/>
    <w:pPr>
      <w:tabs>
        <w:tab w:val="left" w:pos="0"/>
        <w:tab w:val="left" w:pos="993"/>
        <w:tab w:val="left" w:pos="1134"/>
      </w:tabs>
      <w:spacing w:line="312" w:lineRule="atLeast"/>
      <w:ind w:firstLine="420"/>
    </w:pPr>
  </w:style>
  <w:style w:type="paragraph" w:customStyle="1" w:styleId="5">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6">
    <w:name w:val="HTML Preformatted"/>
    <w:basedOn w:val="1"/>
    <w:semiHidden/>
    <w:qFormat/>
    <w:uiPriority w:val="0"/>
    <w:pPr>
      <w:topLinePunct w:val="0"/>
    </w:pPr>
    <w:rPr>
      <w:rFonts w:ascii="Courier New" w:hAnsi="Courier New" w:cs="Courier New"/>
      <w:sz w:val="20"/>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paragraph" w:customStyle="1" w:styleId="12">
    <w:name w:val="正文首行缩进 21"/>
    <w:basedOn w:val="13"/>
    <w:qFormat/>
    <w:uiPriority w:val="0"/>
    <w:pPr>
      <w:widowControl/>
      <w:ind w:firstLine="420"/>
    </w:pPr>
    <w:rPr>
      <w:szCs w:val="20"/>
    </w:rPr>
  </w:style>
  <w:style w:type="paragraph" w:customStyle="1" w:styleId="13">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0</Words>
  <Characters>0</Characters>
  <Lines>0</Lines>
  <Paragraphs>0</Paragraphs>
  <TotalTime>0</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张珊珊-135433</cp:lastModifiedBy>
  <dcterms:modified xsi:type="dcterms:W3CDTF">2026-05-28T10:34:43Z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F8204B0BA9714E5CB8393EC8049FC2C0</vt:lpwstr>
  </property>
</Properties>
</file>